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A2" w:rsidRPr="009A3D29" w:rsidRDefault="009A3D29" w:rsidP="009A3D29">
      <w:pPr>
        <w:pStyle w:val="Textkrper"/>
        <w:rPr>
          <w:sz w:val="20"/>
        </w:rPr>
      </w:pPr>
      <w:r w:rsidRPr="00866F2D">
        <w:rPr>
          <w:rStyle w:val="Hervorhebung"/>
          <w:sz w:val="20"/>
        </w:rPr>
        <w:t xml:space="preserve">Visualisierung: Leonhardt, </w:t>
      </w:r>
      <w:proofErr w:type="spellStart"/>
      <w:r w:rsidRPr="00866F2D">
        <w:rPr>
          <w:rStyle w:val="Hervorhebung"/>
          <w:sz w:val="20"/>
        </w:rPr>
        <w:t>Andrä</w:t>
      </w:r>
      <w:proofErr w:type="spellEnd"/>
      <w:r w:rsidRPr="00866F2D">
        <w:rPr>
          <w:rStyle w:val="Hervorhebung"/>
          <w:sz w:val="20"/>
        </w:rPr>
        <w:t xml:space="preserve"> und Partner, München</w:t>
      </w:r>
      <w:bookmarkStart w:id="0" w:name="_GoBack"/>
      <w:bookmarkEnd w:id="0"/>
      <w:r>
        <w:rPr>
          <w:rFonts w:ascii="Times New Roman" w:hAnsi="Times New Roman"/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4871720</wp:posOffset>
            </wp:positionV>
            <wp:extent cx="5777802" cy="3286125"/>
            <wp:effectExtent l="0" t="0" r="0" b="0"/>
            <wp:wrapNone/>
            <wp:docPr id="12" name="Grafik 12" descr="IMG_0127_fahrbahnseitig_querform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569FC2-B47D-4EAF-978C-D43F4B877139" descr="IMG_0127_fahrbahnseitig_querformat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02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102870</wp:posOffset>
            </wp:positionH>
            <wp:positionV relativeFrom="paragraph">
              <wp:posOffset>386080</wp:posOffset>
            </wp:positionV>
            <wp:extent cx="5762625" cy="4321969"/>
            <wp:effectExtent l="0" t="0" r="0" b="2540"/>
            <wp:wrapNone/>
            <wp:docPr id="8" name="Grafik 8" descr="IMG_0164_anliegerseitig_querformat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79FAB3-A176-4033-9474-B7C6BBBB3BE0" descr="IMG_0164_anliegerseitig_querformat_1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7EA2" w:rsidRPr="009A3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740C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7947A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A8D6720"/>
    <w:multiLevelType w:val="hybridMultilevel"/>
    <w:tmpl w:val="73CA6F3E"/>
    <w:lvl w:ilvl="0" w:tplc="1556CD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E29D7"/>
    <w:multiLevelType w:val="hybridMultilevel"/>
    <w:tmpl w:val="31DC1D00"/>
    <w:lvl w:ilvl="0" w:tplc="82F0B84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29"/>
    <w:rsid w:val="00150FFD"/>
    <w:rsid w:val="00307EA2"/>
    <w:rsid w:val="009A3D29"/>
    <w:rsid w:val="00D53BBE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AD34"/>
  <w15:chartTrackingRefBased/>
  <w15:docId w15:val="{84F8E91A-FAA8-41BC-8720-4B7894CD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7EA2"/>
    <w:pPr>
      <w:keepNext/>
      <w:keepLines/>
      <w:numPr>
        <w:numId w:val="4"/>
      </w:numPr>
      <w:spacing w:before="360" w:after="240" w:line="24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6DE5"/>
    <w:pPr>
      <w:keepNext/>
      <w:keepLines/>
      <w:numPr>
        <w:ilvl w:val="1"/>
        <w:numId w:val="4"/>
      </w:numPr>
      <w:spacing w:before="360" w:after="240" w:line="240" w:lineRule="auto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6DE5"/>
    <w:pPr>
      <w:keepNext/>
      <w:keepLines/>
      <w:numPr>
        <w:ilvl w:val="2"/>
        <w:numId w:val="4"/>
      </w:numPr>
      <w:spacing w:before="360" w:after="240" w:line="240" w:lineRule="auto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E6DE5"/>
    <w:pPr>
      <w:keepNext/>
      <w:keepLines/>
      <w:numPr>
        <w:ilvl w:val="3"/>
        <w:numId w:val="4"/>
      </w:numPr>
      <w:spacing w:before="360" w:after="240" w:line="240" w:lineRule="auto"/>
      <w:ind w:left="862" w:hanging="862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6DE5"/>
    <w:pPr>
      <w:keepNext/>
      <w:keepLines/>
      <w:numPr>
        <w:ilvl w:val="4"/>
        <w:numId w:val="4"/>
      </w:numPr>
      <w:spacing w:before="360" w:after="240" w:line="240" w:lineRule="auto"/>
      <w:ind w:left="1009" w:hanging="1009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6DE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A1D3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6DE5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1D3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6DE5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6DE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7EA2"/>
    <w:rPr>
      <w:rFonts w:asciiTheme="majorHAnsi" w:eastAsiaTheme="majorEastAsia" w:hAnsiTheme="majorHAnsi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7EA2"/>
    <w:rPr>
      <w:rFonts w:asciiTheme="majorHAnsi" w:eastAsiaTheme="majorEastAsia" w:hAnsiTheme="majorHAnsi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6DE5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6DE5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6DE5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6DE5"/>
    <w:rPr>
      <w:rFonts w:asciiTheme="majorHAnsi" w:eastAsiaTheme="majorEastAsia" w:hAnsiTheme="majorHAnsi" w:cstheme="majorBidi"/>
      <w:color w:val="0A1D34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6DE5"/>
    <w:rPr>
      <w:rFonts w:asciiTheme="majorHAnsi" w:eastAsiaTheme="majorEastAsia" w:hAnsiTheme="majorHAnsi" w:cstheme="majorBidi"/>
      <w:i/>
      <w:iCs/>
      <w:color w:val="0A1D34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6D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6D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FE6DE5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6DE5"/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</w:rPr>
  </w:style>
  <w:style w:type="paragraph" w:styleId="Textkrper">
    <w:name w:val="Body Text"/>
    <w:basedOn w:val="Standard"/>
    <w:link w:val="TextkrperZchn"/>
    <w:rsid w:val="009A3D29"/>
    <w:pPr>
      <w:spacing w:after="0" w:line="360" w:lineRule="auto"/>
    </w:pPr>
    <w:rPr>
      <w:rFonts w:ascii="Arial" w:eastAsia="Times New Roman" w:hAnsi="Arial" w:cs="Times New Roman"/>
      <w:szCs w:val="24"/>
    </w:rPr>
  </w:style>
  <w:style w:type="character" w:customStyle="1" w:styleId="TextkrperZchn">
    <w:name w:val="Textkörper Zchn"/>
    <w:basedOn w:val="Absatz-Standardschriftart"/>
    <w:link w:val="Textkrper"/>
    <w:rsid w:val="009A3D29"/>
    <w:rPr>
      <w:rFonts w:ascii="Arial" w:eastAsia="Times New Roman" w:hAnsi="Arial" w:cs="Times New Roman"/>
      <w:szCs w:val="24"/>
    </w:rPr>
  </w:style>
  <w:style w:type="character" w:styleId="Hervorhebung">
    <w:name w:val="Emphasis"/>
    <w:qFormat/>
    <w:rsid w:val="009A3D29"/>
    <w:rPr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279FAB3-A176-4033-9474-B7C6BBBB3B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35569FC2-B47D-4EAF-978C-D43F4B87713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BV">
  <a:themeElements>
    <a:clrScheme name="StBV-Farbschema">
      <a:dk1>
        <a:srgbClr val="000000"/>
      </a:dk1>
      <a:lt1>
        <a:srgbClr val="FFFFFF"/>
      </a:lt1>
      <a:dk2>
        <a:srgbClr val="525252"/>
      </a:dk2>
      <a:lt2>
        <a:srgbClr val="FFDD00"/>
      </a:lt2>
      <a:accent1>
        <a:srgbClr val="143C69"/>
      </a:accent1>
      <a:accent2>
        <a:srgbClr val="2D5A96"/>
      </a:accent2>
      <a:accent3>
        <a:srgbClr val="4B96AA"/>
      </a:accent3>
      <a:accent4>
        <a:srgbClr val="7F7F7F"/>
      </a:accent4>
      <a:accent5>
        <a:srgbClr val="008DC9"/>
      </a:accent5>
      <a:accent6>
        <a:srgbClr val="E2001A"/>
      </a:accent6>
      <a:hlink>
        <a:srgbClr val="0563C1"/>
      </a:hlink>
      <a:folHlink>
        <a:srgbClr val="954F72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3">
        <a:dk1>
          <a:srgbClr val="5F5F5F"/>
        </a:dk1>
        <a:lt1>
          <a:srgbClr val="FFFFFF"/>
        </a:lt1>
        <a:dk2>
          <a:srgbClr val="5F5F5F"/>
        </a:dk2>
        <a:lt2>
          <a:srgbClr val="B2B2B2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50505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4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81D5FF"/>
        </a:accent1>
        <a:accent2>
          <a:srgbClr val="D20028"/>
        </a:accent2>
        <a:accent3>
          <a:srgbClr val="FFFFFF"/>
        </a:accent3>
        <a:accent4>
          <a:srgbClr val="000000"/>
        </a:accent4>
        <a:accent5>
          <a:srgbClr val="C1E7FF"/>
        </a:accent5>
        <a:accent6>
          <a:srgbClr val="BE0023"/>
        </a:accent6>
        <a:hlink>
          <a:srgbClr val="3333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5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tBV" id="{2DF0C62D-D757-4EA7-8B44-E4A6F3524E3E}" vid="{5A97210B-F198-4CCC-B4E1-FEBEAE5C39C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Willer, Claudia (StBA Amberg-Sulzbach)</dc:creator>
  <cp:keywords/>
  <dc:description/>
  <cp:lastModifiedBy>Willer, Claudia (StBA Amberg-Sulzbach)</cp:lastModifiedBy>
  <cp:revision>1</cp:revision>
  <dcterms:created xsi:type="dcterms:W3CDTF">2022-09-22T06:53:00Z</dcterms:created>
  <dcterms:modified xsi:type="dcterms:W3CDTF">2022-09-22T06:55:00Z</dcterms:modified>
</cp:coreProperties>
</file>